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2FA11327" w:rsidR="002F1804" w:rsidRPr="00142DE9" w:rsidRDefault="00FA3E84" w:rsidP="0CD0C847">
            <w:pPr>
              <w:widowControl w:val="0"/>
              <w:spacing w:line="259" w:lineRule="auto"/>
            </w:pPr>
            <w:r>
              <w:rPr>
                <w:i/>
                <w:iCs/>
                <w:color w:val="E36C0A" w:themeColor="accent6" w:themeShade="BF"/>
              </w:rPr>
              <w:t>AM22A</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699A2D56" w:rsidR="00182179" w:rsidRPr="00142DE9" w:rsidRDefault="000659FE" w:rsidP="00182179">
            <w:pPr>
              <w:widowControl w:val="0"/>
              <w:pBdr>
                <w:top w:val="nil"/>
                <w:left w:val="nil"/>
                <w:bottom w:val="nil"/>
                <w:right w:val="nil"/>
                <w:between w:val="nil"/>
              </w:pBdr>
              <w:rPr>
                <w:i/>
                <w:iCs/>
                <w:color w:val="E36C0A" w:themeColor="accent6" w:themeShade="BF"/>
              </w:rPr>
            </w:pPr>
            <w:r>
              <w:rPr>
                <w:i/>
                <w:iCs/>
                <w:color w:val="E36C0A" w:themeColor="accent6" w:themeShade="BF"/>
              </w:rPr>
              <w:t>30</w:t>
            </w:r>
            <w:r w:rsidR="00FA3E84">
              <w:rPr>
                <w:i/>
                <w:iCs/>
                <w:color w:val="E36C0A" w:themeColor="accent6" w:themeShade="BF"/>
              </w:rPr>
              <w:t>.10.2023</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7614803E" w:rsidR="00182179" w:rsidRPr="00142DE9" w:rsidRDefault="000659FE" w:rsidP="00182179">
            <w:pPr>
              <w:widowControl w:val="0"/>
              <w:pBdr>
                <w:top w:val="nil"/>
                <w:left w:val="nil"/>
                <w:bottom w:val="nil"/>
                <w:right w:val="nil"/>
                <w:between w:val="nil"/>
              </w:pBdr>
              <w:rPr>
                <w:b/>
                <w:i/>
                <w:iCs/>
                <w:color w:val="E36C0A" w:themeColor="accent6" w:themeShade="BF"/>
              </w:rPr>
            </w:pPr>
            <w:r>
              <w:rPr>
                <w:i/>
                <w:iCs/>
                <w:color w:val="E36C0A" w:themeColor="accent6" w:themeShade="BF"/>
              </w:rPr>
              <w:t>30</w:t>
            </w:r>
            <w:r w:rsidR="00EF7867">
              <w:rPr>
                <w:i/>
                <w:iCs/>
                <w:color w:val="E36C0A" w:themeColor="accent6" w:themeShade="BF"/>
              </w:rPr>
              <w:t>.11.2023, ora 16:00</w:t>
            </w: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270DBDB9"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FA3E84">
              <w:rPr>
                <w:rFonts w:eastAsia="Arial" w:cs="Arial"/>
                <w:i/>
                <w:iCs/>
                <w:color w:val="E36C0A" w:themeColor="accent6" w:themeShade="BF"/>
              </w:rPr>
              <w:t>22</w:t>
            </w:r>
            <w:r w:rsidR="000501CF" w:rsidRPr="00142DE9">
              <w:rPr>
                <w:rFonts w:eastAsia="Arial" w:cs="Arial"/>
                <w:i/>
                <w:iCs/>
                <w:color w:val="E36C0A" w:themeColor="accent6" w:themeShade="BF"/>
              </w:rPr>
              <w:t xml:space="preserve">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FA3E84">
              <w:rPr>
                <w:rFonts w:eastAsia="Arial" w:cs="Arial"/>
                <w:i/>
                <w:iCs/>
                <w:color w:val="E36C0A" w:themeColor="accent6" w:themeShade="BF"/>
              </w:rPr>
              <w:t>22</w:t>
            </w:r>
            <w:r w:rsidR="000501CF" w:rsidRPr="00142DE9">
              <w:rPr>
                <w:rFonts w:eastAsia="Arial" w:cs="Arial"/>
                <w:i/>
                <w:iCs/>
                <w:color w:val="E36C0A" w:themeColor="accent6" w:themeShade="BF"/>
              </w:rPr>
              <w:t>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E" w14:textId="5CD3153C" w:rsidR="00442EA3" w:rsidRPr="006D59CC" w:rsidRDefault="00442EA3" w:rsidP="006D59CC">
            <w:pPr>
              <w:widowControl w:val="0"/>
              <w:pBdr>
                <w:top w:val="nil"/>
                <w:left w:val="nil"/>
                <w:bottom w:val="nil"/>
                <w:right w:val="nil"/>
                <w:between w:val="nil"/>
              </w:pBdr>
              <w:rPr>
                <w:color w:val="FF0000"/>
              </w:rPr>
            </w:pP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6" w14:textId="4FAF000C" w:rsidR="002F1804" w:rsidRPr="00142DE9" w:rsidRDefault="00876516">
            <w:pPr>
              <w:spacing w:after="60"/>
              <w:jc w:val="both"/>
              <w:rPr>
                <w:i/>
                <w:iCs/>
              </w:rPr>
            </w:pPr>
            <w:r>
              <w:rPr>
                <w:i/>
              </w:rPr>
              <w:t>0%</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 xml:space="preserve">Procent Contribuție financiară nerambursabilă solicitată </w:t>
            </w:r>
            <w:r w:rsidRPr="00142DE9">
              <w:lastRenderedPageBreak/>
              <w:t>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lastRenderedPageBreak/>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15C2D20B" w14:textId="77777777" w:rsidR="006D59CC" w:rsidRDefault="006D59CC">
      <w:pPr>
        <w:pStyle w:val="Heading3"/>
      </w:pPr>
      <w:bookmarkStart w:id="7" w:name="_Toc145343655"/>
    </w:p>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w:t>
            </w:r>
            <w:r w:rsidRPr="00142DE9">
              <w:rPr>
                <w:i/>
                <w:iCs/>
                <w:color w:val="E36C0A" w:themeColor="accent6" w:themeShade="BF"/>
              </w:rPr>
              <w:lastRenderedPageBreak/>
              <w:t xml:space="preserve">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p w14:paraId="289EB143" w14:textId="22E3D52A" w:rsidR="00977CD9" w:rsidRPr="00977CD9" w:rsidRDefault="00977CD9" w:rsidP="00977CD9">
      <w:pPr>
        <w:rPr>
          <w:i/>
          <w:iCs/>
        </w:rPr>
      </w:pPr>
      <w:r w:rsidRPr="00977CD9">
        <w:rPr>
          <w:i/>
          <w:iCs/>
        </w:rPr>
        <w:t>Nu e cazul</w:t>
      </w:r>
    </w:p>
    <w:p w14:paraId="55E42CD4" w14:textId="77777777" w:rsidR="002F1804" w:rsidRPr="00142DE9" w:rsidRDefault="00AC1DF0">
      <w:pPr>
        <w:pStyle w:val="Heading2"/>
      </w:pPr>
      <w:bookmarkStart w:id="9" w:name="_Toc145343657"/>
      <w:r w:rsidRPr="00142DE9">
        <w:rPr>
          <w:rFonts w:eastAsia="Arial" w:cs="Arial"/>
        </w:rPr>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4B535AF7"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B,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lastRenderedPageBreak/>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lastRenderedPageBreak/>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lastRenderedPageBreak/>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lastRenderedPageBreak/>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5E42DE2" w14:textId="28609E34" w:rsidR="00292A2E" w:rsidRPr="00507515"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lastRenderedPageBreak/>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4C9D11CA" w:rsidR="002F1804" w:rsidRPr="00142DE9" w:rsidRDefault="00142DE9" w:rsidP="00B309B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r w:rsidR="00B309B9">
              <w:rPr>
                <w:i/>
                <w:iCs/>
                <w:color w:val="E36C0A" w:themeColor="accent6" w:themeShade="BF"/>
              </w:rPr>
              <w:t xml:space="preserve"> </w:t>
            </w:r>
            <w:r w:rsidR="00B309B9" w:rsidRPr="00667B73">
              <w:rPr>
                <w:i/>
                <w:iCs/>
                <w:color w:val="E36C0A" w:themeColor="accent6" w:themeShade="BF"/>
              </w:rPr>
              <w:t xml:space="preserve">(ex. </w:t>
            </w:r>
            <w:r w:rsidR="00E41292" w:rsidRPr="00667B73">
              <w:rPr>
                <w:i/>
                <w:iCs/>
                <w:color w:val="E36C0A" w:themeColor="accent6" w:themeShade="BF"/>
              </w:rPr>
              <w:t xml:space="preserve">CV-uri, fișe de post, </w:t>
            </w:r>
            <w:r w:rsidR="00B309B9" w:rsidRPr="00667B73">
              <w:rPr>
                <w:i/>
                <w:iCs/>
                <w:color w:val="E36C0A" w:themeColor="accent6" w:themeShade="BF"/>
              </w:rPr>
              <w:t>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etc)</w:t>
            </w:r>
            <w:r w:rsidRPr="00667B73">
              <w:rPr>
                <w:i/>
                <w:iCs/>
                <w:color w:val="E36C0A" w:themeColor="accent6" w:themeShade="BF"/>
              </w:rPr>
              <w:t>.</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CE3D" w14:textId="77777777" w:rsidR="00334616" w:rsidRDefault="00334616">
      <w:r>
        <w:separator/>
      </w:r>
    </w:p>
  </w:endnote>
  <w:endnote w:type="continuationSeparator" w:id="0">
    <w:p w14:paraId="79A60BC5" w14:textId="77777777" w:rsidR="00334616" w:rsidRDefault="00334616">
      <w:r>
        <w:continuationSeparator/>
      </w:r>
    </w:p>
  </w:endnote>
  <w:endnote w:type="continuationNotice" w:id="1">
    <w:p w14:paraId="1642FDA0" w14:textId="77777777" w:rsidR="00334616" w:rsidRDefault="00334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D63C" w14:textId="77777777" w:rsidR="00334616" w:rsidRDefault="00334616">
      <w:r>
        <w:separator/>
      </w:r>
    </w:p>
  </w:footnote>
  <w:footnote w:type="continuationSeparator" w:id="0">
    <w:p w14:paraId="56607AF4" w14:textId="77777777" w:rsidR="00334616" w:rsidRDefault="00334616">
      <w:r>
        <w:continuationSeparator/>
      </w:r>
    </w:p>
  </w:footnote>
  <w:footnote w:type="continuationNotice" w:id="1">
    <w:p w14:paraId="67D95BBA" w14:textId="77777777" w:rsidR="00334616" w:rsidRDefault="00334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44A458C5"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FA3E84">
      <w:rPr>
        <w:rFonts w:eastAsia="Roboto" w:cs="Roboto"/>
        <w:color w:val="666666"/>
        <w:sz w:val="16"/>
        <w:szCs w:val="16"/>
      </w:rPr>
      <w:t>AM22A</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13D8"/>
    <w:rsid w:val="00056521"/>
    <w:rsid w:val="00056A19"/>
    <w:rsid w:val="00056ACA"/>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10920</Words>
  <Characters>62250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2023-09-14T09:33:00Z</dcterms:created>
  <dcterms:modified xsi:type="dcterms:W3CDTF">2023-10-30T11:42:00Z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